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04" w:rsidRDefault="00AC7004" w:rsidP="00AC7004">
      <w:pPr>
        <w:tabs>
          <w:tab w:val="center" w:pos="4153"/>
          <w:tab w:val="right" w:pos="8306"/>
        </w:tabs>
        <w:jc w:val="center"/>
        <w:rPr>
          <w:noProof/>
          <w:lang w:eastAsia="lt-LT"/>
        </w:rPr>
      </w:pPr>
      <w:r>
        <w:rPr>
          <w:noProof/>
          <w:lang w:eastAsia="lt-LT"/>
        </w:rPr>
        <w:drawing>
          <wp:inline distT="0" distB="0" distL="0" distR="0" wp14:anchorId="28A58405" wp14:editId="4AFCE094">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356A8" w:rsidRDefault="00AC7004">
      <w:pPr>
        <w:jc w:val="center"/>
        <w:rPr>
          <w:b/>
          <w:caps/>
          <w:lang w:eastAsia="lt-LT"/>
        </w:rPr>
      </w:pPr>
      <w:r>
        <w:rPr>
          <w:b/>
          <w:caps/>
          <w:lang w:eastAsia="lt-LT"/>
        </w:rPr>
        <w:t>vALSTYBINĖ KAINŲ IR ENERGETIKOS KONTROLĖS KOMISIJA</w:t>
      </w:r>
    </w:p>
    <w:p w:rsidR="002356A8" w:rsidRDefault="002356A8">
      <w:pPr>
        <w:tabs>
          <w:tab w:val="left" w:pos="709"/>
        </w:tabs>
        <w:ind w:firstLine="709"/>
        <w:jc w:val="both"/>
        <w:rPr>
          <w:b/>
          <w:caps/>
          <w:lang w:eastAsia="lt-LT"/>
        </w:rPr>
      </w:pPr>
    </w:p>
    <w:p w:rsidR="002356A8" w:rsidRDefault="00AC7004">
      <w:pPr>
        <w:tabs>
          <w:tab w:val="left" w:pos="709"/>
        </w:tabs>
        <w:jc w:val="center"/>
        <w:rPr>
          <w:b/>
          <w:caps/>
          <w:lang w:eastAsia="lt-LT"/>
        </w:rPr>
      </w:pPr>
      <w:r>
        <w:rPr>
          <w:b/>
          <w:caps/>
          <w:lang w:eastAsia="lt-LT"/>
        </w:rPr>
        <w:t>NUTARIMAS</w:t>
      </w:r>
    </w:p>
    <w:p w:rsidR="002356A8" w:rsidRDefault="00AC7004">
      <w:pPr>
        <w:tabs>
          <w:tab w:val="left" w:pos="709"/>
        </w:tabs>
        <w:jc w:val="center"/>
        <w:rPr>
          <w:b/>
          <w:caps/>
          <w:lang w:eastAsia="lt-LT"/>
        </w:rPr>
      </w:pPr>
      <w:r>
        <w:rPr>
          <w:b/>
          <w:caps/>
          <w:lang w:eastAsia="lt-LT"/>
        </w:rPr>
        <w:t xml:space="preserve">DĖL </w:t>
      </w:r>
      <w:r>
        <w:rPr>
          <w:b/>
          <w:szCs w:val="24"/>
        </w:rPr>
        <w:t>ŠILUMOS, KAI BUTUOSE IR (AR) KITOSE PATALPOSE ĮRENGTI KOMPAKTINIAI ŠILUMOS PUNKTAI, PASKIRSTYMO METODO NR. 2 PATVIRTINIMO</w:t>
      </w:r>
    </w:p>
    <w:p w:rsidR="002356A8" w:rsidRDefault="002356A8">
      <w:pPr>
        <w:tabs>
          <w:tab w:val="left" w:pos="709"/>
        </w:tabs>
        <w:jc w:val="center"/>
        <w:rPr>
          <w:b/>
          <w:caps/>
          <w:lang w:eastAsia="lt-LT"/>
        </w:rPr>
      </w:pPr>
    </w:p>
    <w:p w:rsidR="002356A8" w:rsidRDefault="00AC7004">
      <w:pPr>
        <w:tabs>
          <w:tab w:val="left" w:pos="709"/>
        </w:tabs>
        <w:jc w:val="center"/>
        <w:rPr>
          <w:lang w:eastAsia="lt-LT"/>
        </w:rPr>
      </w:pPr>
      <w:r>
        <w:rPr>
          <w:lang w:eastAsia="lt-LT"/>
        </w:rPr>
        <w:t>2016 m. birželio 13 d. Nr. O3-181</w:t>
      </w:r>
    </w:p>
    <w:p w:rsidR="002356A8" w:rsidRDefault="00AC7004">
      <w:pPr>
        <w:tabs>
          <w:tab w:val="left" w:pos="709"/>
        </w:tabs>
        <w:jc w:val="center"/>
        <w:rPr>
          <w:lang w:eastAsia="lt-LT"/>
        </w:rPr>
      </w:pPr>
      <w:r>
        <w:rPr>
          <w:lang w:eastAsia="lt-LT"/>
        </w:rPr>
        <w:t>Vilnius</w:t>
      </w:r>
    </w:p>
    <w:p w:rsidR="002356A8" w:rsidRDefault="002356A8">
      <w:pPr>
        <w:tabs>
          <w:tab w:val="left" w:pos="709"/>
        </w:tabs>
        <w:ind w:firstLine="720"/>
        <w:jc w:val="both"/>
        <w:rPr>
          <w:lang w:eastAsia="lt-LT"/>
        </w:rPr>
      </w:pPr>
    </w:p>
    <w:p w:rsidR="00AC7004" w:rsidRDefault="00AC7004">
      <w:pPr>
        <w:tabs>
          <w:tab w:val="left" w:pos="709"/>
        </w:tabs>
        <w:ind w:firstLine="720"/>
        <w:jc w:val="both"/>
        <w:rPr>
          <w:lang w:eastAsia="lt-LT"/>
        </w:rPr>
      </w:pPr>
    </w:p>
    <w:p w:rsidR="002356A8" w:rsidRDefault="00AC7004">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2356A8" w:rsidRDefault="00AC7004">
      <w:pPr>
        <w:tabs>
          <w:tab w:val="left" w:pos="709"/>
        </w:tabs>
        <w:ind w:firstLine="720"/>
        <w:jc w:val="both"/>
        <w:rPr>
          <w:lang w:eastAsia="lt-LT"/>
        </w:rPr>
      </w:pPr>
      <w:r>
        <w:rPr>
          <w:lang w:eastAsia="lt-LT"/>
        </w:rPr>
        <w:t xml:space="preserve">1. Patvirtinti </w:t>
      </w:r>
      <w:r>
        <w:rPr>
          <w:szCs w:val="24"/>
          <w:lang w:eastAsia="lt-LT"/>
        </w:rPr>
        <w:t>Šilumos, kai butuose ir (ar) kitose patalpose įrengti kompaktiniai šilumos punktai, paskirstymo metodą Nr. 2</w:t>
      </w:r>
      <w:r>
        <w:rPr>
          <w:lang w:eastAsia="lt-LT"/>
        </w:rPr>
        <w:t xml:space="preserve"> (pridedama).</w:t>
      </w:r>
    </w:p>
    <w:p w:rsidR="002356A8" w:rsidRDefault="00AC7004" w:rsidP="00AC7004">
      <w:pPr>
        <w:tabs>
          <w:tab w:val="left" w:pos="709"/>
        </w:tabs>
        <w:ind w:firstLine="709"/>
        <w:jc w:val="both"/>
        <w:rPr>
          <w:lang w:eastAsia="lt-LT"/>
        </w:rPr>
      </w:pPr>
      <w:r>
        <w:rPr>
          <w:lang w:eastAsia="lt-LT"/>
        </w:rPr>
        <w:t xml:space="preserve">2. Nustatyti, kad šis nutarimas įsigalioja po 12 mėnesių nuo jo paskelbimo Teisės aktų registre.  </w:t>
      </w:r>
    </w:p>
    <w:p w:rsidR="00AC7004" w:rsidRDefault="00AC7004">
      <w:pPr>
        <w:tabs>
          <w:tab w:val="left" w:pos="709"/>
        </w:tabs>
        <w:jc w:val="both"/>
      </w:pPr>
    </w:p>
    <w:p w:rsidR="00AC7004" w:rsidRDefault="00AC7004">
      <w:pPr>
        <w:tabs>
          <w:tab w:val="left" w:pos="709"/>
        </w:tabs>
        <w:jc w:val="both"/>
      </w:pPr>
    </w:p>
    <w:p w:rsidR="00AC7004" w:rsidRDefault="00AC7004">
      <w:pPr>
        <w:tabs>
          <w:tab w:val="left" w:pos="709"/>
        </w:tabs>
        <w:jc w:val="both"/>
      </w:pPr>
    </w:p>
    <w:p w:rsidR="002356A8" w:rsidRDefault="00AC7004" w:rsidP="00AC7004">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 </w:t>
      </w:r>
    </w:p>
    <w:p w:rsidR="00AC7004" w:rsidRDefault="00AC7004" w:rsidP="00AC7004">
      <w:pPr>
        <w:tabs>
          <w:tab w:val="left" w:pos="709"/>
        </w:tabs>
      </w:pPr>
      <w:r>
        <w:br w:type="page"/>
      </w:r>
    </w:p>
    <w:p w:rsidR="002356A8" w:rsidRDefault="00AC7004">
      <w:pPr>
        <w:tabs>
          <w:tab w:val="left" w:pos="709"/>
        </w:tabs>
        <w:ind w:left="5103"/>
        <w:rPr>
          <w:color w:val="000000"/>
          <w:szCs w:val="24"/>
        </w:rPr>
      </w:pPr>
      <w:r>
        <w:rPr>
          <w:color w:val="000000"/>
          <w:szCs w:val="24"/>
        </w:rPr>
        <w:t>PATVIRTINTA</w:t>
      </w:r>
    </w:p>
    <w:p w:rsidR="002356A8" w:rsidRDefault="00AC7004">
      <w:pPr>
        <w:tabs>
          <w:tab w:val="left" w:pos="709"/>
        </w:tabs>
        <w:ind w:left="5103"/>
        <w:rPr>
          <w:color w:val="000000"/>
          <w:szCs w:val="24"/>
        </w:rPr>
      </w:pPr>
      <w:r>
        <w:rPr>
          <w:color w:val="000000"/>
          <w:szCs w:val="24"/>
        </w:rPr>
        <w:t xml:space="preserve">Valstybinės kainų ir energetikos kontrolės komisijos </w:t>
      </w:r>
    </w:p>
    <w:p w:rsidR="002356A8" w:rsidRDefault="00AC7004">
      <w:pPr>
        <w:tabs>
          <w:tab w:val="left" w:pos="709"/>
        </w:tabs>
        <w:ind w:left="5103"/>
        <w:rPr>
          <w:color w:val="000000"/>
          <w:szCs w:val="24"/>
        </w:rPr>
      </w:pPr>
      <w:r>
        <w:rPr>
          <w:color w:val="000000"/>
          <w:szCs w:val="24"/>
        </w:rPr>
        <w:t>2016 m. birželio 13 d. nutarimu Nr. O3-181</w:t>
      </w:r>
    </w:p>
    <w:p w:rsidR="002356A8" w:rsidRDefault="002356A8">
      <w:pPr>
        <w:tabs>
          <w:tab w:val="left" w:pos="709"/>
        </w:tabs>
        <w:jc w:val="center"/>
        <w:rPr>
          <w:b/>
          <w:szCs w:val="24"/>
        </w:rPr>
      </w:pPr>
    </w:p>
    <w:p w:rsidR="002356A8" w:rsidRDefault="00AC7004">
      <w:pPr>
        <w:tabs>
          <w:tab w:val="left" w:pos="709"/>
        </w:tabs>
        <w:jc w:val="center"/>
        <w:rPr>
          <w:b/>
          <w:szCs w:val="24"/>
        </w:rPr>
      </w:pPr>
      <w:r>
        <w:rPr>
          <w:b/>
          <w:szCs w:val="24"/>
        </w:rPr>
        <w:t>ŠILUMOS, KAI BUTUOSE IR (AR) KITOSE PATALPOSE ĮRENGTI KOMPAKTINIAI ŠILUMOS PUNKTAI, PASKIRSTYMO METODAS NR. 2</w:t>
      </w:r>
    </w:p>
    <w:p w:rsidR="002356A8" w:rsidRDefault="002356A8">
      <w:pPr>
        <w:tabs>
          <w:tab w:val="left" w:pos="709"/>
        </w:tabs>
        <w:suppressAutoHyphens/>
        <w:jc w:val="both"/>
        <w:textAlignment w:val="center"/>
        <w:rPr>
          <w:color w:val="000000"/>
          <w:szCs w:val="24"/>
        </w:rPr>
      </w:pPr>
    </w:p>
    <w:p w:rsidR="002356A8" w:rsidRDefault="00AC7004">
      <w:pPr>
        <w:tabs>
          <w:tab w:val="left" w:pos="709"/>
        </w:tabs>
        <w:suppressAutoHyphens/>
        <w:ind w:firstLine="720"/>
        <w:jc w:val="both"/>
        <w:textAlignment w:val="center"/>
        <w:rPr>
          <w:color w:val="000000"/>
          <w:szCs w:val="24"/>
        </w:rPr>
      </w:pPr>
      <w:r>
        <w:rPr>
          <w:color w:val="000000"/>
          <w:szCs w:val="24"/>
        </w:rPr>
        <w:t xml:space="preserve">1. </w:t>
      </w:r>
      <w:r>
        <w:rPr>
          <w:szCs w:val="24"/>
        </w:rPr>
        <w:t>Šilumos, kai butuose ir (ar) kitose patalpose įrengti kompaktiniai šilumos punktai, paskirstymo metodas Nr. 2</w:t>
      </w:r>
      <w:r>
        <w:rPr>
          <w:color w:val="000000"/>
          <w:szCs w:val="24"/>
        </w:rPr>
        <w:t xml:space="preserve"> gali būti taikomas, kai:</w:t>
      </w:r>
    </w:p>
    <w:p w:rsidR="002356A8" w:rsidRDefault="00AC7004">
      <w:pPr>
        <w:tabs>
          <w:tab w:val="left" w:pos="709"/>
        </w:tabs>
        <w:suppressAutoHyphens/>
        <w:ind w:firstLine="720"/>
        <w:jc w:val="both"/>
        <w:textAlignment w:val="center"/>
        <w:rPr>
          <w:color w:val="000000"/>
          <w:szCs w:val="24"/>
        </w:rPr>
      </w:pPr>
      <w:r>
        <w:rPr>
          <w:color w:val="000000"/>
          <w:szCs w:val="24"/>
        </w:rPr>
        <w:t>1.1. šiluma vartotojams tiekiama iš pastato individualaus šilumos punkto;</w:t>
      </w:r>
    </w:p>
    <w:p w:rsidR="002356A8" w:rsidRDefault="00AC7004">
      <w:pPr>
        <w:tabs>
          <w:tab w:val="left" w:pos="709"/>
        </w:tabs>
        <w:suppressAutoHyphens/>
        <w:ind w:firstLine="720"/>
        <w:jc w:val="both"/>
        <w:textAlignment w:val="center"/>
        <w:rPr>
          <w:color w:val="000000"/>
          <w:szCs w:val="24"/>
        </w:rPr>
      </w:pPr>
      <w:r>
        <w:rPr>
          <w:color w:val="000000"/>
          <w:szCs w:val="24"/>
        </w:rPr>
        <w:t>1.2. visas pastate suvartotas šilumos kiekis nustatomas pagal vieno įvadinio šilumos apskaitos prietaiso (</w:t>
      </w:r>
      <w:r>
        <w:rPr>
          <w:i/>
          <w:noProof/>
          <w:color w:val="000000"/>
          <w:sz w:val="22"/>
          <w:szCs w:val="22"/>
          <w:lang w:eastAsia="lt-LT"/>
        </w:rPr>
        <w:drawing>
          <wp:inline distT="0" distB="0" distL="0" distR="0" wp14:anchorId="188D84E2" wp14:editId="188D84E3">
            <wp:extent cx="382905" cy="233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05" cy="233680"/>
                    </a:xfrm>
                    <a:prstGeom prst="rect">
                      <a:avLst/>
                    </a:prstGeom>
                    <a:noFill/>
                    <a:ln>
                      <a:noFill/>
                    </a:ln>
                  </pic:spPr>
                </pic:pic>
              </a:graphicData>
            </a:graphic>
          </wp:inline>
        </w:drawing>
      </w:r>
      <w:r>
        <w:rPr>
          <w:color w:val="000000"/>
          <w:szCs w:val="22"/>
        </w:rPr>
        <w:t>)</w:t>
      </w:r>
      <w:r>
        <w:rPr>
          <w:color w:val="000000"/>
          <w:szCs w:val="24"/>
        </w:rPr>
        <w:t>, rodmenis;</w:t>
      </w:r>
    </w:p>
    <w:p w:rsidR="002356A8" w:rsidRDefault="00AC7004">
      <w:pPr>
        <w:tabs>
          <w:tab w:val="left" w:pos="709"/>
        </w:tabs>
        <w:suppressAutoHyphens/>
        <w:ind w:firstLine="720"/>
        <w:jc w:val="both"/>
        <w:textAlignment w:val="center"/>
        <w:rPr>
          <w:color w:val="000000"/>
          <w:szCs w:val="24"/>
        </w:rPr>
      </w:pPr>
      <w:r>
        <w:rPr>
          <w:color w:val="000000"/>
          <w:szCs w:val="24"/>
        </w:rPr>
        <w:t>1.3. kiekviename pastato bute ir (ar) kitoje patalpoje įrengtas kompaktinis šilumos punktas, skirtas šildymui ir karštam vandeniui paruošti;</w:t>
      </w:r>
    </w:p>
    <w:p w:rsidR="002356A8" w:rsidRDefault="00AC7004">
      <w:pPr>
        <w:tabs>
          <w:tab w:val="left" w:pos="709"/>
        </w:tabs>
        <w:suppressAutoHyphens/>
        <w:ind w:firstLine="720"/>
        <w:jc w:val="both"/>
        <w:textAlignment w:val="center"/>
        <w:rPr>
          <w:szCs w:val="24"/>
        </w:rPr>
      </w:pPr>
      <w:r>
        <w:rPr>
          <w:color w:val="000000"/>
          <w:szCs w:val="24"/>
        </w:rPr>
        <w:t xml:space="preserve">1.4. </w:t>
      </w:r>
      <w:r>
        <w:rPr>
          <w:szCs w:val="24"/>
        </w:rPr>
        <w:t>pastato butų ir (ar) kitų patalpų savininkai įstatymų nustatyta tvarka yra pasirinkę apsirūpinimo karštu vandeniu būdą be karšto vandens tiekėjo;</w:t>
      </w:r>
    </w:p>
    <w:p w:rsidR="002356A8" w:rsidRDefault="00AC7004">
      <w:pPr>
        <w:tabs>
          <w:tab w:val="left" w:pos="709"/>
        </w:tabs>
        <w:suppressAutoHyphens/>
        <w:ind w:firstLine="720"/>
        <w:jc w:val="both"/>
        <w:textAlignment w:val="center"/>
        <w:rPr>
          <w:szCs w:val="24"/>
        </w:rPr>
      </w:pPr>
      <w:r>
        <w:rPr>
          <w:szCs w:val="24"/>
        </w:rPr>
        <w:t>1.5. šilumos kiekis butams ir (ar) kitoms patalpoms šildyti bei karštam vandeniui paruošti nustatomas:</w:t>
      </w:r>
    </w:p>
    <w:p w:rsidR="002356A8" w:rsidRDefault="00AC7004">
      <w:pPr>
        <w:tabs>
          <w:tab w:val="left" w:pos="709"/>
        </w:tabs>
        <w:ind w:firstLine="709"/>
        <w:jc w:val="both"/>
        <w:rPr>
          <w:rFonts w:eastAsia="Calibri"/>
          <w:szCs w:val="24"/>
        </w:rPr>
      </w:pPr>
      <w:r>
        <w:rPr>
          <w:rFonts w:eastAsia="Calibri"/>
          <w:szCs w:val="24"/>
        </w:rPr>
        <w:t>1.5.1. pagal buitinių šilumos skaitiklių rodmenis;</w:t>
      </w:r>
    </w:p>
    <w:p w:rsidR="002356A8" w:rsidRDefault="00AC7004">
      <w:pPr>
        <w:tabs>
          <w:tab w:val="left" w:pos="709"/>
        </w:tabs>
        <w:ind w:firstLine="709"/>
        <w:jc w:val="both"/>
        <w:rPr>
          <w:szCs w:val="24"/>
        </w:rPr>
      </w:pPr>
      <w:r>
        <w:rPr>
          <w:rFonts w:eastAsia="Calibri"/>
          <w:szCs w:val="24"/>
        </w:rPr>
        <w:t xml:space="preserve">1.5.2. </w:t>
      </w:r>
      <w:r>
        <w:rPr>
          <w:szCs w:val="24"/>
        </w:rPr>
        <w:t>pagal maksimalius energijos sąnaudų normatyvus būstui šildyti, kurių taikymo sąlygos nurodytos Šilumos paskirstymo vartotojams metodų rengimo ir taikymo taisyklėse, patvirtintose Komisijos 2004 m. lapkričio 11 d. nutarimu Nr. O3-121 „Dėl Šilumos paskirstymo vartotojams metodų rengimo ir taikymo taisyklių patvirtinimo“, ir karšto vandens suvartojimo normas, įtvirtintas Statybos normose RSN 26-90 „Vandens vartojimo normos“, patvirtintose Lietuvos Respublikos statybos ir urbanistikos ministerijos ir Lietuvos Respublikos aplinkos apsaugos departamento 1991 m. birželio 24 d. įsakymu Nr. 79/76 (toliau – Vandens normos);</w:t>
      </w:r>
    </w:p>
    <w:p w:rsidR="002356A8" w:rsidRDefault="00AC7004">
      <w:pPr>
        <w:tabs>
          <w:tab w:val="left" w:pos="709"/>
        </w:tabs>
        <w:ind w:firstLine="709"/>
        <w:jc w:val="both"/>
        <w:rPr>
          <w:b/>
          <w:szCs w:val="24"/>
        </w:rPr>
      </w:pPr>
      <w:r>
        <w:rPr>
          <w:szCs w:val="24"/>
        </w:rPr>
        <w:t xml:space="preserve">1.5.3. pagal vidutinius energijos sąnaudų normatyvus būstui šildyti, nustatytus vadovaujantis Atskirų energijos ir kuro rūšių sąnaudų normatyvų būstui šildyti ir karštam vandeniui ruošti nustatymo bei taikymo metodika, patvirtinta Komisijos 2003 m. gruodžio 22 d. nutarimu </w:t>
      </w:r>
      <w:r>
        <w:rPr>
          <w:szCs w:val="24"/>
        </w:rPr>
        <w:br/>
        <w:t>Nr. O3-116 „Dėl atskirų energijos ir kuro rūšių sąnaudų normatyvų būstui šildyti ir šaltam vandeniui pašildyti“, kai nėra techninių galimybių butui ir (ar) kitai patalpai įrengti buitinį šilumos skaitiklį, buitinis šilumos skaitiklis neveikia dėl nuo šilumos vartotojo nepriklausančių priežasčių ir šilumos vartotojas apie tai pranešė pastato valdytojui ir (ar) apskaitos sistemą prižiūrintiems asmenims ir (ar) šilumos tiekėjui, buitinio šilumos skaitiklio rodmenys nedeklaruojami, ir karšto vandens suvartojimo normas įtvirtintas Vandens normose;</w:t>
      </w:r>
    </w:p>
    <w:p w:rsidR="002356A8" w:rsidRDefault="00AC7004">
      <w:pPr>
        <w:tabs>
          <w:tab w:val="left" w:pos="709"/>
        </w:tabs>
        <w:ind w:firstLine="709"/>
        <w:jc w:val="both"/>
        <w:rPr>
          <w:rFonts w:eastAsia="Calibri"/>
          <w:szCs w:val="24"/>
        </w:rPr>
      </w:pPr>
      <w:r>
        <w:rPr>
          <w:szCs w:val="24"/>
        </w:rPr>
        <w:t>1.6. pastate yra butų ir (ar) kitų patalpų, atjungtų ir (ar) niekada nebuvusių prijungtais prie pastato bendrosios šildymo sistemos.</w:t>
      </w:r>
    </w:p>
    <w:p w:rsidR="002356A8" w:rsidRDefault="00AC7004">
      <w:pPr>
        <w:tabs>
          <w:tab w:val="left" w:pos="709"/>
        </w:tabs>
        <w:suppressAutoHyphens/>
        <w:ind w:firstLine="720"/>
        <w:jc w:val="both"/>
        <w:textAlignment w:val="center"/>
        <w:rPr>
          <w:color w:val="000000"/>
          <w:szCs w:val="24"/>
        </w:rPr>
      </w:pPr>
      <w:r>
        <w:rPr>
          <w:color w:val="000000"/>
          <w:szCs w:val="24"/>
        </w:rPr>
        <w:t xml:space="preserve">2. </w:t>
      </w:r>
      <w:r>
        <w:rPr>
          <w:szCs w:val="24"/>
        </w:rPr>
        <w:t>Kiekvienam atsiskaitymo laikotarpiui sudaromas šilumos balansas – visas pastate suvartotas šilumos kiekis (</w:t>
      </w:r>
      <w:r>
        <w:rPr>
          <w:i/>
          <w:color w:val="000000"/>
          <w:szCs w:val="24"/>
        </w:rPr>
        <w:object w:dxaOrig="320" w:dyaOrig="320" w14:anchorId="188D8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12" o:title=""/>
          </v:shape>
          <o:OLEObject Type="Embed" ProgID="Equation.3" ShapeID="_x0000_i1025" DrawAspect="Content" ObjectID="_1555405061" r:id="rId13"/>
        </w:object>
      </w:r>
      <w:r>
        <w:rPr>
          <w:color w:val="000000"/>
          <w:szCs w:val="24"/>
        </w:rPr>
        <w:t>)</w:t>
      </w:r>
      <w:r>
        <w:rPr>
          <w:szCs w:val="24"/>
        </w:rPr>
        <w:t xml:space="preserve"> susideda iš šilumos kiekių sumos:</w:t>
      </w:r>
    </w:p>
    <w:p w:rsidR="002356A8" w:rsidRDefault="00AC7004">
      <w:pPr>
        <w:tabs>
          <w:tab w:val="left" w:pos="709"/>
        </w:tabs>
        <w:suppressAutoHyphens/>
        <w:ind w:firstLine="720"/>
        <w:jc w:val="right"/>
        <w:textAlignment w:val="center"/>
        <w:rPr>
          <w:color w:val="000000"/>
          <w:szCs w:val="24"/>
        </w:rPr>
      </w:pPr>
      <w:r>
        <w:rPr>
          <w:position w:val="-10"/>
          <w:szCs w:val="24"/>
        </w:rPr>
        <w:object w:dxaOrig="2799" w:dyaOrig="400" w14:anchorId="188D84E5">
          <v:shape id="_x0000_i1026" type="#_x0000_t75" style="width:145.5pt;height:20.25pt" o:ole="">
            <v:imagedata r:id="rId14" o:title=""/>
          </v:shape>
          <o:OLEObject Type="Embed" ProgID="Equation.3" ShapeID="_x0000_i1026" DrawAspect="Content" ObjectID="_1555405062" r:id="rId15"/>
        </w:object>
      </w:r>
      <w:r>
        <w:rPr>
          <w:position w:val="-10"/>
          <w:szCs w:val="24"/>
        </w:rPr>
        <w:t xml:space="preserve">, </w:t>
      </w:r>
      <w:r>
        <w:rPr>
          <w:i/>
          <w:position w:val="-10"/>
          <w:szCs w:val="24"/>
        </w:rPr>
        <w:t>kWh</w:t>
      </w:r>
      <w:r>
        <w:rPr>
          <w:position w:val="-10"/>
          <w:szCs w:val="24"/>
        </w:rPr>
        <w:t>;</w:t>
      </w:r>
      <w:r>
        <w:rPr>
          <w:color w:val="000000"/>
          <w:szCs w:val="24"/>
        </w:rPr>
        <w:tab/>
      </w:r>
      <w:r>
        <w:rPr>
          <w:color w:val="000000"/>
          <w:szCs w:val="24"/>
        </w:rPr>
        <w:tab/>
      </w:r>
      <w:r>
        <w:rPr>
          <w:color w:val="000000"/>
          <w:szCs w:val="24"/>
        </w:rPr>
        <w:tab/>
      </w:r>
      <w:r>
        <w:rPr>
          <w:color w:val="000000"/>
          <w:szCs w:val="24"/>
        </w:rPr>
        <w:tab/>
        <w:t>(1)</w:t>
      </w:r>
    </w:p>
    <w:p w:rsidR="002356A8" w:rsidRDefault="00AC7004">
      <w:pPr>
        <w:tabs>
          <w:tab w:val="left" w:pos="709"/>
        </w:tabs>
        <w:suppressAutoHyphens/>
        <w:jc w:val="both"/>
        <w:textAlignment w:val="center"/>
        <w:rPr>
          <w:i/>
          <w:color w:val="000000"/>
          <w:sz w:val="22"/>
          <w:szCs w:val="22"/>
        </w:rPr>
      </w:pPr>
      <w:r>
        <w:rPr>
          <w:i/>
          <w:color w:val="000000"/>
          <w:sz w:val="22"/>
          <w:szCs w:val="22"/>
        </w:rPr>
        <w:t>čia:</w:t>
      </w:r>
    </w:p>
    <w:p w:rsidR="002356A8" w:rsidRDefault="00AC7004">
      <w:pPr>
        <w:tabs>
          <w:tab w:val="left" w:pos="709"/>
        </w:tabs>
        <w:suppressAutoHyphens/>
        <w:ind w:firstLine="709"/>
        <w:jc w:val="both"/>
        <w:textAlignment w:val="center"/>
        <w:rPr>
          <w:i/>
          <w:color w:val="000000"/>
          <w:sz w:val="22"/>
          <w:szCs w:val="22"/>
        </w:rPr>
      </w:pPr>
      <w:r>
        <w:rPr>
          <w:i/>
          <w:color w:val="000000"/>
          <w:sz w:val="22"/>
          <w:szCs w:val="22"/>
        </w:rPr>
        <w:object w:dxaOrig="600" w:dyaOrig="360" w14:anchorId="188D84E6">
          <v:shape id="_x0000_i1027" type="#_x0000_t75" style="width:31.5pt;height:18.75pt" o:ole="">
            <v:imagedata r:id="rId16" o:title=""/>
          </v:shape>
          <o:OLEObject Type="Embed" ProgID="Equation.3" ShapeID="_x0000_i1027" DrawAspect="Content" ObjectID="_1555405063" r:id="rId17"/>
        </w:object>
      </w:r>
      <w:r>
        <w:rPr>
          <w:i/>
          <w:color w:val="000000"/>
          <w:sz w:val="22"/>
          <w:szCs w:val="22"/>
        </w:rPr>
        <w:t xml:space="preserve"> – pastate suvartotas šilumos kiekis, nustatytas pagal įvadinio šilumos apskaitos prietaiso rodmenis, kWh;</w:t>
      </w:r>
    </w:p>
    <w:p w:rsidR="002356A8" w:rsidRDefault="00AC7004">
      <w:pPr>
        <w:tabs>
          <w:tab w:val="left" w:pos="709"/>
        </w:tabs>
        <w:suppressAutoHyphens/>
        <w:ind w:firstLine="709"/>
        <w:jc w:val="both"/>
        <w:textAlignment w:val="center"/>
        <w:rPr>
          <w:i/>
          <w:sz w:val="22"/>
          <w:szCs w:val="22"/>
        </w:rPr>
      </w:pPr>
      <w:r>
        <w:rPr>
          <w:i/>
          <w:sz w:val="22"/>
          <w:szCs w:val="22"/>
        </w:rPr>
        <w:object w:dxaOrig="859" w:dyaOrig="400" w14:anchorId="188D84E7">
          <v:shape id="_x0000_i1028" type="#_x0000_t75" style="width:45pt;height:20.25pt" o:ole="">
            <v:imagedata r:id="rId18" o:title=""/>
          </v:shape>
          <o:OLEObject Type="Embed" ProgID="Equation.3" ShapeID="_x0000_i1028" DrawAspect="Content" ObjectID="_1555405064" r:id="rId19"/>
        </w:object>
      </w:r>
      <w:r>
        <w:rPr>
          <w:i/>
          <w:sz w:val="22"/>
          <w:szCs w:val="22"/>
        </w:rPr>
        <w:t xml:space="preserve"> – butuose ir (ar) kitose patalpose suvartotų šilumos kiekių šildymui bei karštam vandeniui paruošti suma, kWh;</w:t>
      </w:r>
    </w:p>
    <w:p w:rsidR="002356A8" w:rsidRDefault="00AC7004">
      <w:pPr>
        <w:tabs>
          <w:tab w:val="left" w:pos="709"/>
        </w:tabs>
        <w:suppressAutoHyphens/>
        <w:ind w:firstLine="720"/>
        <w:jc w:val="both"/>
        <w:textAlignment w:val="center"/>
        <w:rPr>
          <w:color w:val="000000"/>
          <w:szCs w:val="24"/>
        </w:rPr>
      </w:pPr>
      <w:r>
        <w:rPr>
          <w:i/>
          <w:color w:val="000000"/>
          <w:sz w:val="22"/>
          <w:szCs w:val="22"/>
        </w:rPr>
        <w:object w:dxaOrig="480" w:dyaOrig="320" w14:anchorId="188D84E8">
          <v:shape id="_x0000_i1029" type="#_x0000_t75" style="width:24.75pt;height:15.75pt" o:ole="">
            <v:imagedata r:id="rId20" o:title=""/>
          </v:shape>
          <o:OLEObject Type="Embed" ProgID="Equation.3" ShapeID="_x0000_i1029" DrawAspect="Content" ObjectID="_1555405065" r:id="rId21"/>
        </w:object>
      </w:r>
      <w:r>
        <w:rPr>
          <w:i/>
          <w:color w:val="000000"/>
          <w:sz w:val="22"/>
          <w:szCs w:val="22"/>
        </w:rPr>
        <w:t xml:space="preserve"> – šilumos kiekis pastato bendrosioms reikmėms, kWh.</w:t>
      </w:r>
    </w:p>
    <w:p w:rsidR="002356A8" w:rsidRDefault="00AC7004">
      <w:pPr>
        <w:tabs>
          <w:tab w:val="left" w:pos="709"/>
        </w:tabs>
        <w:suppressAutoHyphens/>
        <w:ind w:firstLine="720"/>
        <w:jc w:val="both"/>
        <w:textAlignment w:val="center"/>
        <w:rPr>
          <w:position w:val="-10"/>
          <w:szCs w:val="24"/>
        </w:rPr>
      </w:pPr>
      <w:r>
        <w:rPr>
          <w:position w:val="-10"/>
          <w:szCs w:val="24"/>
        </w:rPr>
        <w:t>3. Šilumos kiekis pastato bendrosioms reikmėms (</w:t>
      </w:r>
      <w:r>
        <w:rPr>
          <w:position w:val="-10"/>
          <w:szCs w:val="24"/>
        </w:rPr>
        <w:object w:dxaOrig="480" w:dyaOrig="320" w14:anchorId="188D84E9">
          <v:shape id="_x0000_i1030" type="#_x0000_t75" style="width:24.75pt;height:15.75pt" o:ole="">
            <v:imagedata r:id="rId20" o:title=""/>
          </v:shape>
          <o:OLEObject Type="Embed" ProgID="Equation.3" ShapeID="_x0000_i1030" DrawAspect="Content" ObjectID="_1555405066" r:id="rId22"/>
        </w:object>
      </w:r>
      <w:r>
        <w:rPr>
          <w:position w:val="-10"/>
          <w:szCs w:val="24"/>
        </w:rPr>
        <w:t>) nustatomas:</w:t>
      </w:r>
    </w:p>
    <w:p w:rsidR="002356A8" w:rsidRDefault="00AC7004">
      <w:pPr>
        <w:tabs>
          <w:tab w:val="left" w:pos="709"/>
        </w:tabs>
        <w:suppressAutoHyphens/>
        <w:ind w:firstLine="720"/>
        <w:jc w:val="right"/>
        <w:textAlignment w:val="center"/>
        <w:rPr>
          <w:color w:val="000000"/>
          <w:szCs w:val="24"/>
        </w:rPr>
      </w:pPr>
      <w:r>
        <w:rPr>
          <w:position w:val="-10"/>
          <w:szCs w:val="24"/>
        </w:rPr>
        <w:object w:dxaOrig="2360" w:dyaOrig="400" w14:anchorId="188D84EA">
          <v:shape id="_x0000_i1031" type="#_x0000_t75" style="width:122.25pt;height:20.25pt" o:ole="">
            <v:imagedata r:id="rId23" o:title=""/>
          </v:shape>
          <o:OLEObject Type="Embed" ProgID="Equation.3" ShapeID="_x0000_i1031" DrawAspect="Content" ObjectID="_1555405067" r:id="rId24"/>
        </w:object>
      </w:r>
      <w:r>
        <w:rPr>
          <w:position w:val="-10"/>
          <w:szCs w:val="24"/>
        </w:rPr>
        <w:t xml:space="preserve">, </w:t>
      </w:r>
      <w:r>
        <w:rPr>
          <w:i/>
          <w:position w:val="-10"/>
          <w:szCs w:val="24"/>
        </w:rPr>
        <w:t>kWh</w:t>
      </w:r>
      <w:r>
        <w:rPr>
          <w:position w:val="-10"/>
          <w:szCs w:val="24"/>
        </w:rPr>
        <w:t>.</w:t>
      </w:r>
      <w:r>
        <w:rPr>
          <w:i/>
          <w:color w:val="000000"/>
          <w:szCs w:val="24"/>
        </w:rPr>
        <w:tab/>
      </w:r>
      <w:r>
        <w:rPr>
          <w:i/>
          <w:color w:val="000000"/>
          <w:szCs w:val="24"/>
        </w:rPr>
        <w:tab/>
      </w:r>
      <w:r>
        <w:rPr>
          <w:i/>
          <w:color w:val="000000"/>
          <w:szCs w:val="24"/>
        </w:rPr>
        <w:tab/>
      </w:r>
      <w:r>
        <w:rPr>
          <w:i/>
          <w:color w:val="000000"/>
          <w:szCs w:val="24"/>
        </w:rPr>
        <w:tab/>
      </w:r>
      <w:r>
        <w:rPr>
          <w:color w:val="000000"/>
          <w:szCs w:val="24"/>
        </w:rPr>
        <w:t>(2)</w:t>
      </w:r>
    </w:p>
    <w:p w:rsidR="002356A8" w:rsidRDefault="00AC7004">
      <w:pPr>
        <w:tabs>
          <w:tab w:val="left" w:pos="709"/>
        </w:tabs>
        <w:suppressAutoHyphens/>
        <w:ind w:firstLine="709"/>
        <w:jc w:val="both"/>
        <w:textAlignment w:val="center"/>
      </w:pPr>
      <w:r>
        <w:rPr>
          <w:szCs w:val="24"/>
        </w:rPr>
        <w:t xml:space="preserve">4. </w:t>
      </w:r>
      <w:r>
        <w:t>Butui ar kitai patalpai priskiriamas šilumos kiekis (</w:t>
      </w:r>
      <w:r>
        <w:object w:dxaOrig="320" w:dyaOrig="320" w14:anchorId="188D84EB">
          <v:shape id="_x0000_i1032" type="#_x0000_t75" style="width:15.75pt;height:15.75pt" o:ole="">
            <v:imagedata r:id="rId25" o:title=""/>
          </v:shape>
          <o:OLEObject Type="Embed" ProgID="Equation.3" ShapeID="_x0000_i1032" DrawAspect="Content" ObjectID="_1555405068" r:id="rId26"/>
        </w:object>
      </w:r>
      <w:r>
        <w:t>) susideda iš šilumos kiekių sumos:</w:t>
      </w:r>
    </w:p>
    <w:p w:rsidR="002356A8" w:rsidRDefault="00AC7004">
      <w:pPr>
        <w:tabs>
          <w:tab w:val="left" w:pos="709"/>
        </w:tabs>
        <w:suppressAutoHyphens/>
        <w:ind w:firstLine="720"/>
        <w:jc w:val="right"/>
        <w:textAlignment w:val="center"/>
        <w:rPr>
          <w:szCs w:val="24"/>
        </w:rPr>
      </w:pPr>
      <w:r>
        <w:rPr>
          <w:position w:val="-10"/>
          <w:szCs w:val="24"/>
        </w:rPr>
        <w:object w:dxaOrig="1740" w:dyaOrig="360" w14:anchorId="188D84EC">
          <v:shape id="_x0000_i1033" type="#_x0000_t75" style="width:90.75pt;height:18.75pt" o:ole="">
            <v:imagedata r:id="rId27" o:title=""/>
          </v:shape>
          <o:OLEObject Type="Embed" ProgID="Equation.3" ShapeID="_x0000_i1033" DrawAspect="Content" ObjectID="_1555405069" r:id="rId28"/>
        </w:object>
      </w:r>
      <w:r>
        <w:rPr>
          <w:position w:val="-10"/>
          <w:szCs w:val="24"/>
        </w:rPr>
        <w:t xml:space="preserve">, </w:t>
      </w:r>
      <w:r>
        <w:rPr>
          <w:i/>
          <w:position w:val="-10"/>
          <w:szCs w:val="24"/>
        </w:rPr>
        <w:t>kWh</w:t>
      </w:r>
      <w:r>
        <w:rPr>
          <w:position w:val="-10"/>
          <w:szCs w:val="24"/>
        </w:rPr>
        <w:t>;</w:t>
      </w:r>
      <w:r>
        <w:rPr>
          <w:i/>
          <w:szCs w:val="24"/>
        </w:rPr>
        <w:tab/>
      </w:r>
      <w:r>
        <w:rPr>
          <w:i/>
          <w:szCs w:val="24"/>
        </w:rPr>
        <w:tab/>
      </w:r>
      <w:r>
        <w:rPr>
          <w:i/>
          <w:szCs w:val="24"/>
        </w:rPr>
        <w:tab/>
      </w:r>
      <w:r>
        <w:rPr>
          <w:i/>
          <w:szCs w:val="24"/>
        </w:rPr>
        <w:tab/>
      </w:r>
      <w:r>
        <w:rPr>
          <w:i/>
          <w:szCs w:val="24"/>
        </w:rPr>
        <w:tab/>
      </w:r>
      <w:r>
        <w:rPr>
          <w:szCs w:val="24"/>
        </w:rPr>
        <w:t>(3)</w:t>
      </w:r>
    </w:p>
    <w:p w:rsidR="002356A8" w:rsidRDefault="00AC7004">
      <w:pPr>
        <w:tabs>
          <w:tab w:val="left" w:pos="709"/>
        </w:tabs>
        <w:suppressAutoHyphens/>
        <w:jc w:val="both"/>
        <w:textAlignment w:val="center"/>
        <w:rPr>
          <w:i/>
          <w:sz w:val="22"/>
          <w:szCs w:val="22"/>
        </w:rPr>
      </w:pPr>
      <w:r>
        <w:rPr>
          <w:i/>
          <w:sz w:val="22"/>
          <w:szCs w:val="22"/>
        </w:rPr>
        <w:t xml:space="preserve">čia: </w:t>
      </w:r>
    </w:p>
    <w:p w:rsidR="002356A8" w:rsidRDefault="00AC7004">
      <w:pPr>
        <w:tabs>
          <w:tab w:val="left" w:pos="709"/>
        </w:tabs>
        <w:suppressAutoHyphens/>
        <w:ind w:firstLine="709"/>
        <w:jc w:val="both"/>
        <w:textAlignment w:val="center"/>
        <w:rPr>
          <w:i/>
          <w:sz w:val="22"/>
          <w:szCs w:val="22"/>
        </w:rPr>
      </w:pPr>
      <w:r>
        <w:rPr>
          <w:i/>
          <w:sz w:val="22"/>
          <w:szCs w:val="22"/>
        </w:rPr>
        <w:object w:dxaOrig="540" w:dyaOrig="340" w14:anchorId="188D84ED">
          <v:shape id="_x0000_i1034" type="#_x0000_t75" style="width:27.75pt;height:17.25pt" o:ole="">
            <v:imagedata r:id="rId29" o:title=""/>
          </v:shape>
          <o:OLEObject Type="Embed" ProgID="Equation.3" ShapeID="_x0000_i1034" DrawAspect="Content" ObjectID="_1555405070" r:id="rId30"/>
        </w:object>
      </w:r>
      <w:r>
        <w:rPr>
          <w:i/>
          <w:sz w:val="22"/>
          <w:szCs w:val="22"/>
        </w:rPr>
        <w:t xml:space="preserve"> – butui ar kitai patalpai šildyti bei karštam vandeniui paruošti priskiriamas šilumos kiekis, kWh;</w:t>
      </w:r>
    </w:p>
    <w:p w:rsidR="002356A8" w:rsidRDefault="00AC7004">
      <w:pPr>
        <w:tabs>
          <w:tab w:val="left" w:pos="709"/>
        </w:tabs>
        <w:suppressAutoHyphens/>
        <w:ind w:firstLine="709"/>
        <w:jc w:val="both"/>
        <w:textAlignment w:val="center"/>
        <w:rPr>
          <w:i/>
          <w:sz w:val="22"/>
          <w:szCs w:val="22"/>
        </w:rPr>
      </w:pPr>
      <w:r>
        <w:rPr>
          <w:i/>
          <w:sz w:val="22"/>
          <w:szCs w:val="22"/>
        </w:rPr>
        <w:object w:dxaOrig="460" w:dyaOrig="320" w14:anchorId="188D84EE">
          <v:shape id="_x0000_i1035" type="#_x0000_t75" style="width:24pt;height:15.75pt" o:ole="">
            <v:imagedata r:id="rId31" o:title=""/>
          </v:shape>
          <o:OLEObject Type="Embed" ProgID="Equation.3" ShapeID="_x0000_i1035" DrawAspect="Content" ObjectID="_1555405071" r:id="rId32"/>
        </w:object>
      </w:r>
      <w:r>
        <w:rPr>
          <w:i/>
          <w:sz w:val="22"/>
          <w:szCs w:val="22"/>
        </w:rPr>
        <w:t xml:space="preserve"> – butui ar kitai patalpai priskiriamas šilumos kiekis bendrosioms reikmėms, kWh.</w:t>
      </w:r>
    </w:p>
    <w:p w:rsidR="002356A8" w:rsidRDefault="00AC7004">
      <w:pPr>
        <w:tabs>
          <w:tab w:val="left" w:pos="709"/>
        </w:tabs>
        <w:suppressAutoHyphens/>
        <w:ind w:firstLine="709"/>
        <w:jc w:val="both"/>
        <w:textAlignment w:val="center"/>
        <w:rPr>
          <w:szCs w:val="24"/>
        </w:rPr>
      </w:pPr>
      <w:r>
        <w:rPr>
          <w:szCs w:val="24"/>
        </w:rPr>
        <w:t>5. Butui ar kitai patalpai šildyti bei karštam vandeniui paruošti priskiriamas šilumos kiekis nustatomas:</w:t>
      </w:r>
    </w:p>
    <w:p w:rsidR="002356A8" w:rsidRDefault="00AC7004">
      <w:pPr>
        <w:tabs>
          <w:tab w:val="left" w:pos="709"/>
        </w:tabs>
        <w:suppressAutoHyphens/>
        <w:ind w:firstLine="709"/>
        <w:jc w:val="both"/>
        <w:textAlignment w:val="center"/>
        <w:rPr>
          <w:szCs w:val="24"/>
        </w:rPr>
      </w:pPr>
      <w:r>
        <w:rPr>
          <w:szCs w:val="24"/>
        </w:rPr>
        <w:t>5.1. pagal buitinio šilumos skaitiklio rodmenis:</w:t>
      </w:r>
    </w:p>
    <w:p w:rsidR="002356A8" w:rsidRDefault="00AC7004">
      <w:pPr>
        <w:tabs>
          <w:tab w:val="left" w:pos="709"/>
        </w:tabs>
        <w:suppressAutoHyphens/>
        <w:jc w:val="right"/>
        <w:textAlignment w:val="center"/>
        <w:rPr>
          <w:szCs w:val="24"/>
        </w:rPr>
      </w:pPr>
      <w:r>
        <w:rPr>
          <w:szCs w:val="24"/>
        </w:rPr>
        <w:object w:dxaOrig="1579" w:dyaOrig="360" w14:anchorId="188D84EF">
          <v:shape id="_x0000_i1036" type="#_x0000_t75" style="width:81.75pt;height:18.75pt" o:ole="">
            <v:imagedata r:id="rId33" o:title=""/>
          </v:shape>
          <o:OLEObject Type="Embed" ProgID="Equation.3" ShapeID="_x0000_i1036" DrawAspect="Content" ObjectID="_1555405072" r:id="rId34"/>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(4)</w:t>
      </w:r>
    </w:p>
    <w:p w:rsidR="002356A8" w:rsidRDefault="00AC7004">
      <w:pPr>
        <w:tabs>
          <w:tab w:val="left" w:pos="709"/>
        </w:tabs>
        <w:suppressAutoHyphens/>
        <w:ind w:firstLine="709"/>
        <w:jc w:val="both"/>
        <w:textAlignment w:val="center"/>
        <w:rPr>
          <w:szCs w:val="24"/>
        </w:rPr>
      </w:pPr>
      <w:r>
        <w:rPr>
          <w:szCs w:val="24"/>
        </w:rPr>
        <w:t>5.2. pagal maksimalius energijos sąnaudų normatyvus būstui šildyti ir karšto vandens suvartojimo normas:</w:t>
      </w:r>
    </w:p>
    <w:p w:rsidR="002356A8" w:rsidRDefault="00AC7004">
      <w:pPr>
        <w:tabs>
          <w:tab w:val="left" w:pos="709"/>
        </w:tabs>
        <w:suppressAutoHyphens/>
        <w:jc w:val="right"/>
        <w:textAlignment w:val="center"/>
        <w:rPr>
          <w:szCs w:val="24"/>
        </w:rPr>
      </w:pPr>
      <w:r>
        <w:rPr>
          <w:szCs w:val="24"/>
        </w:rPr>
        <w:object w:dxaOrig="4099" w:dyaOrig="380" w14:anchorId="188D84F0">
          <v:shape id="_x0000_i1037" type="#_x0000_t75" style="width:213pt;height:18.75pt" o:ole="">
            <v:imagedata r:id="rId35" o:title=""/>
          </v:shape>
          <o:OLEObject Type="Embed" ProgID="Equation.3" ShapeID="_x0000_i1037" DrawAspect="Content" ObjectID="_1555405073" r:id="rId36"/>
        </w:object>
      </w:r>
      <w:r>
        <w:rPr>
          <w:szCs w:val="24"/>
        </w:rPr>
        <w:tab/>
      </w:r>
      <w:r>
        <w:rPr>
          <w:szCs w:val="24"/>
        </w:rPr>
        <w:tab/>
      </w:r>
      <w:r>
        <w:rPr>
          <w:szCs w:val="24"/>
        </w:rPr>
        <w:tab/>
        <w:t>(5)</w:t>
      </w:r>
    </w:p>
    <w:p w:rsidR="002356A8" w:rsidRDefault="00AC7004">
      <w:pPr>
        <w:tabs>
          <w:tab w:val="left" w:pos="709"/>
        </w:tabs>
        <w:suppressAutoHyphens/>
        <w:jc w:val="both"/>
        <w:textAlignment w:val="center"/>
        <w:rPr>
          <w:i/>
          <w:sz w:val="22"/>
          <w:szCs w:val="22"/>
        </w:rPr>
      </w:pPr>
      <w:r>
        <w:rPr>
          <w:i/>
          <w:sz w:val="22"/>
          <w:szCs w:val="22"/>
        </w:rPr>
        <w:t xml:space="preserve">čia: </w:t>
      </w:r>
    </w:p>
    <w:p w:rsidR="002356A8" w:rsidRDefault="00AC7004">
      <w:pPr>
        <w:tabs>
          <w:tab w:val="left" w:pos="709"/>
        </w:tabs>
        <w:suppressAutoHyphens/>
        <w:ind w:firstLine="709"/>
        <w:jc w:val="both"/>
        <w:textAlignment w:val="center"/>
        <w:rPr>
          <w:i/>
          <w:sz w:val="22"/>
          <w:szCs w:val="22"/>
        </w:rPr>
      </w:pPr>
      <w:r>
        <w:rPr>
          <w:i/>
          <w:sz w:val="22"/>
          <w:szCs w:val="22"/>
        </w:rPr>
        <w:object w:dxaOrig="700" w:dyaOrig="340" w14:anchorId="188D84F1">
          <v:shape id="_x0000_i1038" type="#_x0000_t75" style="width:36pt;height:17.25pt" o:ole="">
            <v:imagedata r:id="rId37" o:title=""/>
          </v:shape>
          <o:OLEObject Type="Embed" ProgID="Equation.3" ShapeID="_x0000_i1038" DrawAspect="Content" ObjectID="_1555405074" r:id="rId38"/>
        </w:object>
      </w:r>
      <w:r>
        <w:rPr>
          <w:i/>
          <w:sz w:val="22"/>
          <w:szCs w:val="22"/>
        </w:rPr>
        <w:t xml:space="preserve"> – maksimalus energijos sąnaudų normatyvas būstui šildyti, kWh/m</w:t>
      </w:r>
      <w:r>
        <w:rPr>
          <w:i/>
          <w:sz w:val="22"/>
          <w:szCs w:val="22"/>
          <w:vertAlign w:val="superscript"/>
        </w:rPr>
        <w:t>2</w:t>
      </w:r>
      <w:r>
        <w:rPr>
          <w:i/>
          <w:sz w:val="22"/>
          <w:szCs w:val="22"/>
        </w:rPr>
        <w:t>, nustatomas vadovaujantis Atskirų energijos ir kuro rūšių sąnaudų normatyvų būstui šildyti ir karštam vandeniui ruošti nustatymo bei taikymo metodika, patvirtinta Komisijos 2003 m. gruodžio 22 d. nutarimu Nr. O3-116;</w:t>
      </w:r>
    </w:p>
    <w:p w:rsidR="002356A8" w:rsidRDefault="00AC7004">
      <w:pPr>
        <w:tabs>
          <w:tab w:val="left" w:pos="709"/>
        </w:tabs>
        <w:suppressAutoHyphens/>
        <w:ind w:firstLine="709"/>
        <w:jc w:val="both"/>
        <w:textAlignment w:val="center"/>
        <w:rPr>
          <w:i/>
          <w:sz w:val="22"/>
          <w:szCs w:val="22"/>
        </w:rPr>
      </w:pPr>
      <w:r>
        <w:rPr>
          <w:i/>
          <w:sz w:val="22"/>
          <w:szCs w:val="22"/>
        </w:rPr>
        <w:object w:dxaOrig="400" w:dyaOrig="340" w14:anchorId="188D84F2">
          <v:shape id="_x0000_i1039" type="#_x0000_t75" style="width:21pt;height:17.25pt" o:ole="">
            <v:imagedata r:id="rId39" o:title=""/>
          </v:shape>
          <o:OLEObject Type="Embed" ProgID="Equation.3" ShapeID="_x0000_i1039" DrawAspect="Content" ObjectID="_1555405075" r:id="rId40"/>
        </w:object>
      </w:r>
      <w:r>
        <w:rPr>
          <w:i/>
          <w:sz w:val="22"/>
          <w:szCs w:val="22"/>
        </w:rPr>
        <w:t xml:space="preserve"> – buto ar kitos patalpos naudingasis plotas, m</w:t>
      </w:r>
      <w:r>
        <w:rPr>
          <w:i/>
          <w:sz w:val="22"/>
          <w:szCs w:val="22"/>
          <w:vertAlign w:val="superscript"/>
        </w:rPr>
        <w:t>2</w:t>
      </w:r>
      <w:r>
        <w:rPr>
          <w:i/>
          <w:sz w:val="22"/>
          <w:szCs w:val="22"/>
        </w:rPr>
        <w:t>;</w:t>
      </w:r>
    </w:p>
    <w:p w:rsidR="002356A8" w:rsidRDefault="00AC7004">
      <w:pPr>
        <w:tabs>
          <w:tab w:val="left" w:pos="709"/>
        </w:tabs>
        <w:suppressAutoHyphens/>
        <w:ind w:firstLine="709"/>
        <w:jc w:val="both"/>
        <w:textAlignment w:val="center"/>
        <w:rPr>
          <w:i/>
          <w:sz w:val="22"/>
          <w:szCs w:val="22"/>
        </w:rPr>
      </w:pPr>
      <w:r>
        <w:rPr>
          <w:i/>
          <w:sz w:val="22"/>
          <w:szCs w:val="22"/>
        </w:rPr>
        <w:object w:dxaOrig="780" w:dyaOrig="320" w14:anchorId="188D84F3">
          <v:shape id="_x0000_i1040" type="#_x0000_t75" style="width:40.5pt;height:15.75pt" o:ole="">
            <v:imagedata r:id="rId41" o:title=""/>
          </v:shape>
          <o:OLEObject Type="Embed" ProgID="Equation.3" ShapeID="_x0000_i1040" DrawAspect="Content" ObjectID="_1555405076" r:id="rId42"/>
        </w:object>
      </w:r>
      <w:r>
        <w:rPr>
          <w:i/>
          <w:sz w:val="22"/>
          <w:szCs w:val="22"/>
        </w:rPr>
        <w:t xml:space="preserve"> – karšto vandens suvartojimo norma, m</w:t>
      </w:r>
      <w:r>
        <w:rPr>
          <w:i/>
          <w:sz w:val="22"/>
          <w:szCs w:val="22"/>
          <w:vertAlign w:val="superscript"/>
        </w:rPr>
        <w:t>3</w:t>
      </w:r>
      <w:r>
        <w:rPr>
          <w:i/>
          <w:sz w:val="22"/>
          <w:szCs w:val="22"/>
        </w:rPr>
        <w:t xml:space="preserve">, nustatyta vadovaujantis Statybos normomis RSN 26-90 „Vandens vartojimo normos“, patvirtintomis Lietuvos Respublikos statybos ir urbanistikos ministerijos ir Lietuvos Respublikos aplinkos apsaugos departamento 1991 m. birželio 24 d. įsakymu </w:t>
      </w:r>
      <w:r>
        <w:rPr>
          <w:i/>
          <w:sz w:val="22"/>
          <w:szCs w:val="22"/>
        </w:rPr>
        <w:br/>
        <w:t>Nr. 79/76, m</w:t>
      </w:r>
      <w:r>
        <w:rPr>
          <w:i/>
          <w:sz w:val="22"/>
          <w:szCs w:val="22"/>
          <w:vertAlign w:val="superscript"/>
        </w:rPr>
        <w:t>2</w:t>
      </w:r>
      <w:r>
        <w:rPr>
          <w:i/>
          <w:sz w:val="22"/>
          <w:szCs w:val="22"/>
        </w:rPr>
        <w:t>;</w:t>
      </w:r>
    </w:p>
    <w:p w:rsidR="002356A8" w:rsidRDefault="00AC7004">
      <w:pPr>
        <w:tabs>
          <w:tab w:val="left" w:pos="709"/>
        </w:tabs>
        <w:suppressAutoHyphens/>
        <w:ind w:firstLine="720"/>
        <w:jc w:val="both"/>
        <w:textAlignment w:val="center"/>
        <w:rPr>
          <w:i/>
          <w:color w:val="000000"/>
          <w:sz w:val="22"/>
          <w:szCs w:val="22"/>
        </w:rPr>
      </w:pPr>
      <w:r>
        <w:rPr>
          <w:i/>
          <w:color w:val="000000"/>
          <w:sz w:val="22"/>
          <w:szCs w:val="22"/>
        </w:rPr>
        <w:object w:dxaOrig="499" w:dyaOrig="380" w14:anchorId="188D84F4">
          <v:shape id="_x0000_i1041" type="#_x0000_t75" style="width:26.25pt;height:18.75pt" o:ole="">
            <v:imagedata r:id="rId43" o:title=""/>
          </v:shape>
          <o:OLEObject Type="Embed" ProgID="Equation.3" ShapeID="_x0000_i1041" DrawAspect="Content" ObjectID="_1555405077" r:id="rId44"/>
        </w:object>
      </w:r>
      <w:r>
        <w:rPr>
          <w:i/>
          <w:color w:val="000000"/>
          <w:sz w:val="22"/>
          <w:szCs w:val="22"/>
        </w:rPr>
        <w:t xml:space="preserve"> – šilumos sąnaudos geriamojo vandens vienam kubiniam metrui pašildyti, kWh/m</w:t>
      </w:r>
      <w:r>
        <w:rPr>
          <w:i/>
          <w:color w:val="000000"/>
          <w:sz w:val="22"/>
          <w:szCs w:val="22"/>
          <w:vertAlign w:val="superscript"/>
        </w:rPr>
        <w:t>3</w:t>
      </w:r>
      <w:r>
        <w:rPr>
          <w:i/>
          <w:color w:val="000000"/>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2356A8" w:rsidRDefault="00AC7004">
      <w:pPr>
        <w:tabs>
          <w:tab w:val="left" w:pos="709"/>
        </w:tabs>
        <w:suppressAutoHyphens/>
        <w:ind w:firstLine="709"/>
        <w:jc w:val="both"/>
        <w:textAlignment w:val="center"/>
        <w:rPr>
          <w:color w:val="000000"/>
          <w:szCs w:val="24"/>
        </w:rPr>
      </w:pPr>
      <w:r>
        <w:rPr>
          <w:color w:val="000000"/>
          <w:szCs w:val="24"/>
        </w:rPr>
        <w:t>5.3. pagal vidutinius energijos sąnaudų normatyvus būstui šildyti ir karšto vandens suvartojimo normas:</w:t>
      </w:r>
    </w:p>
    <w:p w:rsidR="002356A8" w:rsidRDefault="00AC7004">
      <w:pPr>
        <w:tabs>
          <w:tab w:val="left" w:pos="709"/>
        </w:tabs>
        <w:suppressAutoHyphens/>
        <w:jc w:val="right"/>
        <w:textAlignment w:val="center"/>
        <w:rPr>
          <w:color w:val="000000"/>
          <w:szCs w:val="24"/>
        </w:rPr>
      </w:pPr>
      <w:r>
        <w:rPr>
          <w:color w:val="000000"/>
          <w:szCs w:val="24"/>
        </w:rPr>
        <w:object w:dxaOrig="4020" w:dyaOrig="380" w14:anchorId="188D84F5">
          <v:shape id="_x0000_i1042" type="#_x0000_t75" style="width:208.5pt;height:18.75pt" o:ole="">
            <v:imagedata r:id="rId45" o:title=""/>
          </v:shape>
          <o:OLEObject Type="Embed" ProgID="Equation.3" ShapeID="_x0000_i1042" DrawAspect="Content" ObjectID="_1555405078" r:id="rId46"/>
        </w:object>
      </w:r>
      <w:r>
        <w:rPr>
          <w:color w:val="000000"/>
          <w:szCs w:val="24"/>
        </w:rPr>
        <w:tab/>
      </w:r>
      <w:r>
        <w:rPr>
          <w:color w:val="000000"/>
          <w:szCs w:val="24"/>
        </w:rPr>
        <w:tab/>
      </w:r>
      <w:r>
        <w:rPr>
          <w:color w:val="000000"/>
          <w:szCs w:val="24"/>
        </w:rPr>
        <w:tab/>
      </w:r>
      <w:r>
        <w:rPr>
          <w:color w:val="000000"/>
          <w:szCs w:val="24"/>
        </w:rPr>
        <w:tab/>
        <w:t>(6)</w:t>
      </w:r>
    </w:p>
    <w:p w:rsidR="002356A8" w:rsidRDefault="00AC7004">
      <w:pPr>
        <w:tabs>
          <w:tab w:val="left" w:pos="709"/>
        </w:tabs>
        <w:suppressAutoHyphens/>
        <w:jc w:val="both"/>
        <w:textAlignment w:val="center"/>
        <w:rPr>
          <w:i/>
          <w:color w:val="000000"/>
          <w:sz w:val="22"/>
          <w:szCs w:val="22"/>
        </w:rPr>
      </w:pPr>
      <w:r>
        <w:rPr>
          <w:i/>
          <w:color w:val="000000"/>
          <w:sz w:val="22"/>
          <w:szCs w:val="22"/>
        </w:rPr>
        <w:t xml:space="preserve">čia: </w:t>
      </w:r>
    </w:p>
    <w:p w:rsidR="002356A8" w:rsidRDefault="00AC7004">
      <w:pPr>
        <w:tabs>
          <w:tab w:val="left" w:pos="709"/>
        </w:tabs>
        <w:suppressAutoHyphens/>
        <w:ind w:firstLine="709"/>
        <w:jc w:val="both"/>
        <w:textAlignment w:val="center"/>
        <w:rPr>
          <w:i/>
          <w:color w:val="000000"/>
          <w:sz w:val="22"/>
          <w:szCs w:val="22"/>
        </w:rPr>
      </w:pPr>
      <w:r>
        <w:rPr>
          <w:i/>
          <w:color w:val="000000"/>
          <w:sz w:val="22"/>
          <w:szCs w:val="22"/>
        </w:rPr>
        <w:object w:dxaOrig="600" w:dyaOrig="340" w14:anchorId="188D84F6">
          <v:shape id="_x0000_i1043" type="#_x0000_t75" style="width:31.5pt;height:17.25pt" o:ole="">
            <v:imagedata r:id="rId47" o:title=""/>
          </v:shape>
          <o:OLEObject Type="Embed" ProgID="Equation.3" ShapeID="_x0000_i1043" DrawAspect="Content" ObjectID="_1555405079" r:id="rId48"/>
        </w:object>
      </w:r>
      <w:r>
        <w:rPr>
          <w:i/>
          <w:color w:val="000000"/>
          <w:sz w:val="22"/>
          <w:szCs w:val="22"/>
        </w:rPr>
        <w:t xml:space="preserve"> – vidutinis energijos sąnaudų normatyvas būstui šildyti, kWh/m</w:t>
      </w:r>
      <w:r>
        <w:rPr>
          <w:i/>
          <w:color w:val="000000"/>
          <w:sz w:val="22"/>
          <w:szCs w:val="22"/>
          <w:vertAlign w:val="superscript"/>
        </w:rPr>
        <w:t>2</w:t>
      </w:r>
      <w:r>
        <w:rPr>
          <w:i/>
          <w:color w:val="000000"/>
          <w:sz w:val="22"/>
          <w:szCs w:val="22"/>
        </w:rPr>
        <w:t xml:space="preserve"> per mėn., nustatomas vadovaujantis Atskirų energijos ir kuro rūšių sąnaudų normatyvų būstui šildyti ir karštam vandeniui ruošti nustatymo bei taikymo metodika, patvirtinta Komisijos 2003 m. gruodžio 22 d. nutarimu Nr. O3-116.</w:t>
      </w:r>
    </w:p>
    <w:p w:rsidR="002356A8" w:rsidRDefault="00AC7004">
      <w:pPr>
        <w:tabs>
          <w:tab w:val="left" w:pos="709"/>
        </w:tabs>
        <w:suppressAutoHyphens/>
        <w:ind w:firstLine="709"/>
        <w:jc w:val="both"/>
        <w:textAlignment w:val="center"/>
        <w:rPr>
          <w:position w:val="-10"/>
          <w:szCs w:val="24"/>
        </w:rPr>
      </w:pPr>
      <w:r>
        <w:rPr>
          <w:position w:val="-10"/>
          <w:szCs w:val="24"/>
        </w:rPr>
        <w:t>6. Butui ar kitai patalpai priskiriamas šilumos kiekis bendrosioms reikmėms nustatomas:</w:t>
      </w:r>
    </w:p>
    <w:p w:rsidR="002356A8" w:rsidRDefault="00AC7004">
      <w:pPr>
        <w:tabs>
          <w:tab w:val="left" w:pos="709"/>
        </w:tabs>
        <w:suppressAutoHyphens/>
        <w:ind w:firstLine="720"/>
        <w:jc w:val="right"/>
        <w:textAlignment w:val="center"/>
        <w:rPr>
          <w:sz w:val="22"/>
          <w:szCs w:val="22"/>
        </w:rPr>
      </w:pPr>
      <w:r>
        <w:rPr>
          <w:position w:val="-10"/>
          <w:sz w:val="22"/>
          <w:szCs w:val="22"/>
        </w:rPr>
        <w:object w:dxaOrig="2299" w:dyaOrig="340" w14:anchorId="188D84F7">
          <v:shape id="_x0000_i1044" type="#_x0000_t75" style="width:118.5pt;height:17.25pt" o:ole="">
            <v:imagedata r:id="rId49" o:title=""/>
          </v:shape>
          <o:OLEObject Type="Embed" ProgID="Equation.3" ShapeID="_x0000_i1044" DrawAspect="Content" ObjectID="_1555405080" r:id="rId50"/>
        </w:object>
      </w:r>
      <w:r>
        <w:rPr>
          <w:i/>
          <w:sz w:val="22"/>
          <w:szCs w:val="22"/>
        </w:rPr>
        <w:tab/>
      </w:r>
      <w:r>
        <w:rPr>
          <w:i/>
          <w:sz w:val="22"/>
          <w:szCs w:val="22"/>
        </w:rPr>
        <w:tab/>
      </w:r>
      <w:r>
        <w:rPr>
          <w:i/>
          <w:sz w:val="22"/>
          <w:szCs w:val="22"/>
        </w:rPr>
        <w:tab/>
      </w:r>
      <w:r>
        <w:rPr>
          <w:i/>
          <w:sz w:val="22"/>
          <w:szCs w:val="22"/>
        </w:rPr>
        <w:tab/>
      </w:r>
      <w:r>
        <w:rPr>
          <w:i/>
          <w:sz w:val="22"/>
          <w:szCs w:val="22"/>
        </w:rPr>
        <w:tab/>
      </w:r>
      <w:r>
        <w:rPr>
          <w:szCs w:val="22"/>
        </w:rPr>
        <w:t>(7)</w:t>
      </w:r>
    </w:p>
    <w:p w:rsidR="002356A8" w:rsidRDefault="00AC7004">
      <w:pPr>
        <w:tabs>
          <w:tab w:val="left" w:pos="709"/>
        </w:tabs>
        <w:suppressAutoHyphens/>
        <w:jc w:val="both"/>
        <w:textAlignment w:val="center"/>
        <w:rPr>
          <w:i/>
          <w:sz w:val="22"/>
          <w:szCs w:val="22"/>
        </w:rPr>
      </w:pPr>
      <w:r>
        <w:rPr>
          <w:i/>
          <w:sz w:val="22"/>
          <w:szCs w:val="22"/>
        </w:rPr>
        <w:t>čia:</w:t>
      </w:r>
    </w:p>
    <w:p w:rsidR="002356A8" w:rsidRDefault="00AC7004">
      <w:pPr>
        <w:tabs>
          <w:tab w:val="left" w:pos="709"/>
        </w:tabs>
        <w:suppressAutoHyphens/>
        <w:ind w:firstLine="709"/>
        <w:jc w:val="both"/>
        <w:textAlignment w:val="center"/>
        <w:rPr>
          <w:rFonts w:eastAsia="Calibri"/>
          <w:i/>
          <w:sz w:val="22"/>
          <w:szCs w:val="22"/>
        </w:rPr>
      </w:pPr>
      <w:r>
        <w:rPr>
          <w:i/>
          <w:sz w:val="22"/>
          <w:szCs w:val="22"/>
        </w:rPr>
        <w:object w:dxaOrig="420" w:dyaOrig="320" w14:anchorId="188D84F8">
          <v:shape id="_x0000_i1045" type="#_x0000_t75" style="width:21.75pt;height:15.75pt" o:ole="">
            <v:imagedata r:id="rId51" o:title=""/>
          </v:shape>
          <o:OLEObject Type="Embed" ProgID="Equation.3" ShapeID="_x0000_i1045" DrawAspect="Content" ObjectID="_1555405081" r:id="rId52"/>
        </w:object>
      </w:r>
      <w:r>
        <w:rPr>
          <w:i/>
          <w:sz w:val="22"/>
          <w:szCs w:val="22"/>
        </w:rPr>
        <w:t xml:space="preserve"> – </w:t>
      </w:r>
      <w:r>
        <w:rPr>
          <w:rFonts w:eastAsia="Calibri"/>
          <w:i/>
          <w:sz w:val="22"/>
          <w:szCs w:val="22"/>
        </w:rPr>
        <w:t>butui ar kitai patalpai tenkančios šilumos kiekio bendrosioms reikmėms dalies priskyrimo koeficientas, nustatomas:</w:t>
      </w:r>
    </w:p>
    <w:p w:rsidR="002356A8" w:rsidRDefault="00AC7004">
      <w:pPr>
        <w:tabs>
          <w:tab w:val="left" w:pos="709"/>
        </w:tabs>
        <w:suppressAutoHyphens/>
        <w:ind w:firstLine="709"/>
        <w:jc w:val="both"/>
        <w:textAlignment w:val="center"/>
        <w:rPr>
          <w:sz w:val="22"/>
          <w:szCs w:val="22"/>
        </w:rPr>
      </w:pPr>
      <w:r>
        <w:rPr>
          <w:szCs w:val="22"/>
        </w:rPr>
        <w:t>6.1. kai pastato butų ir (ar) kitų patalpų aukštis vienodas:</w:t>
      </w:r>
    </w:p>
    <w:p w:rsidR="002356A8" w:rsidRDefault="00AC7004">
      <w:pPr>
        <w:tabs>
          <w:tab w:val="left" w:pos="709"/>
        </w:tabs>
        <w:suppressAutoHyphens/>
        <w:jc w:val="right"/>
        <w:textAlignment w:val="center"/>
        <w:rPr>
          <w:i/>
          <w:sz w:val="22"/>
          <w:szCs w:val="22"/>
        </w:rPr>
      </w:pPr>
      <w:r>
        <w:rPr>
          <w:i/>
          <w:sz w:val="22"/>
          <w:szCs w:val="22"/>
        </w:rPr>
        <w:object w:dxaOrig="1300" w:dyaOrig="700" w14:anchorId="188D84F9">
          <v:shape id="_x0000_i1046" type="#_x0000_t75" style="width:67.5pt;height:35.25pt" o:ole="">
            <v:imagedata r:id="rId53" o:title=""/>
          </v:shape>
          <o:OLEObject Type="Embed" ProgID="Equation.3" ShapeID="_x0000_i1046" DrawAspect="Content" ObjectID="_1555405082" r:id="rId54"/>
        </w:object>
      </w: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vertAlign w:val="subscript"/>
        </w:rPr>
        <w:tab/>
      </w:r>
      <w:r>
        <w:rPr>
          <w:szCs w:val="22"/>
        </w:rPr>
        <w:t>(8)</w:t>
      </w:r>
    </w:p>
    <w:p w:rsidR="002356A8" w:rsidRDefault="00AC7004">
      <w:pPr>
        <w:tabs>
          <w:tab w:val="left" w:pos="709"/>
        </w:tabs>
        <w:suppressAutoHyphens/>
        <w:jc w:val="both"/>
        <w:textAlignment w:val="center"/>
        <w:rPr>
          <w:i/>
          <w:sz w:val="22"/>
          <w:szCs w:val="22"/>
        </w:rPr>
      </w:pPr>
      <w:r>
        <w:rPr>
          <w:i/>
          <w:sz w:val="22"/>
          <w:szCs w:val="22"/>
        </w:rPr>
        <w:t>čia:</w:t>
      </w:r>
    </w:p>
    <w:p w:rsidR="002356A8" w:rsidRDefault="00AC7004">
      <w:pPr>
        <w:tabs>
          <w:tab w:val="left" w:pos="709"/>
        </w:tabs>
        <w:suppressAutoHyphens/>
        <w:ind w:firstLine="709"/>
        <w:jc w:val="both"/>
        <w:textAlignment w:val="center"/>
        <w:rPr>
          <w:i/>
          <w:sz w:val="22"/>
          <w:szCs w:val="22"/>
        </w:rPr>
      </w:pPr>
      <w:r>
        <w:rPr>
          <w:i/>
          <w:sz w:val="22"/>
          <w:szCs w:val="22"/>
        </w:rPr>
        <w:object w:dxaOrig="320" w:dyaOrig="340" w14:anchorId="188D84FA">
          <v:shape id="_x0000_i1047" type="#_x0000_t75" style="width:16.5pt;height:17.25pt" o:ole="">
            <v:imagedata r:id="rId55" o:title=""/>
          </v:shape>
          <o:OLEObject Type="Embed" ProgID="Equation.3" ShapeID="_x0000_i1047" DrawAspect="Content" ObjectID="_1555405083" r:id="rId56"/>
        </w:object>
      </w:r>
      <w:r>
        <w:rPr>
          <w:i/>
          <w:sz w:val="22"/>
          <w:szCs w:val="22"/>
        </w:rPr>
        <w:t xml:space="preserve"> – buto ar kitos patalpos naudingasis plotas, m</w:t>
      </w:r>
      <w:r>
        <w:rPr>
          <w:i/>
          <w:sz w:val="22"/>
          <w:szCs w:val="22"/>
          <w:vertAlign w:val="superscript"/>
        </w:rPr>
        <w:t>2</w:t>
      </w:r>
      <w:r>
        <w:rPr>
          <w:i/>
          <w:sz w:val="22"/>
          <w:szCs w:val="22"/>
        </w:rPr>
        <w:t>;</w:t>
      </w:r>
    </w:p>
    <w:p w:rsidR="002356A8" w:rsidRDefault="00AC7004">
      <w:pPr>
        <w:tabs>
          <w:tab w:val="left" w:pos="709"/>
        </w:tabs>
        <w:suppressAutoHyphens/>
        <w:ind w:firstLine="709"/>
        <w:jc w:val="both"/>
        <w:textAlignment w:val="center"/>
        <w:rPr>
          <w:i/>
          <w:sz w:val="22"/>
          <w:szCs w:val="22"/>
        </w:rPr>
      </w:pPr>
      <w:r>
        <w:rPr>
          <w:i/>
          <w:sz w:val="22"/>
          <w:szCs w:val="22"/>
        </w:rPr>
        <w:object w:dxaOrig="620" w:dyaOrig="400" w14:anchorId="188D84FB">
          <v:shape id="_x0000_i1048" type="#_x0000_t75" style="width:30.75pt;height:20.25pt" o:ole="">
            <v:imagedata r:id="rId57" o:title=""/>
          </v:shape>
          <o:OLEObject Type="Embed" ProgID="Equation.3" ShapeID="_x0000_i1048" DrawAspect="Content" ObjectID="_1555405084" r:id="rId58"/>
        </w:object>
      </w:r>
      <w:r>
        <w:rPr>
          <w:i/>
          <w:sz w:val="22"/>
          <w:szCs w:val="22"/>
        </w:rPr>
        <w:t xml:space="preserve"> – butų ir (ar) kitų patalpų naudingųjų plotų suma, m</w:t>
      </w:r>
      <w:r>
        <w:rPr>
          <w:i/>
          <w:sz w:val="22"/>
          <w:szCs w:val="22"/>
          <w:vertAlign w:val="superscript"/>
        </w:rPr>
        <w:t>2</w:t>
      </w:r>
      <w:r>
        <w:rPr>
          <w:i/>
          <w:sz w:val="22"/>
          <w:szCs w:val="22"/>
        </w:rPr>
        <w:t>;</w:t>
      </w:r>
    </w:p>
    <w:p w:rsidR="002356A8" w:rsidRDefault="00AC7004">
      <w:pPr>
        <w:tabs>
          <w:tab w:val="left" w:pos="709"/>
        </w:tabs>
        <w:suppressAutoHyphens/>
        <w:ind w:firstLine="709"/>
        <w:jc w:val="both"/>
        <w:textAlignment w:val="center"/>
        <w:rPr>
          <w:szCs w:val="22"/>
        </w:rPr>
      </w:pPr>
      <w:r>
        <w:rPr>
          <w:szCs w:val="22"/>
        </w:rPr>
        <w:t>6.2. kai pastato butų ir (ar) kitų patalpų aukštis nevienodas:</w:t>
      </w:r>
    </w:p>
    <w:p w:rsidR="002356A8" w:rsidRDefault="00AC7004">
      <w:pPr>
        <w:tabs>
          <w:tab w:val="left" w:pos="709"/>
        </w:tabs>
        <w:suppressAutoHyphens/>
        <w:jc w:val="right"/>
        <w:textAlignment w:val="center"/>
        <w:rPr>
          <w:i/>
          <w:sz w:val="22"/>
          <w:szCs w:val="22"/>
        </w:rPr>
      </w:pPr>
      <w:r>
        <w:rPr>
          <w:i/>
          <w:sz w:val="22"/>
          <w:szCs w:val="22"/>
        </w:rPr>
        <w:object w:dxaOrig="1240" w:dyaOrig="680" w14:anchorId="188D84FC">
          <v:shape id="_x0000_i1049" type="#_x0000_t75" style="width:63.75pt;height:34.5pt" o:ole="">
            <v:imagedata r:id="rId59" o:title=""/>
          </v:shape>
          <o:OLEObject Type="Embed" ProgID="Equation.3" ShapeID="_x0000_i1049" DrawAspect="Content" ObjectID="_1555405085" r:id="rId60"/>
        </w:object>
      </w:r>
      <w:r>
        <w:rPr>
          <w:i/>
          <w:sz w:val="22"/>
          <w:szCs w:val="22"/>
        </w:rPr>
        <w:t>;</w:t>
      </w:r>
      <w:r>
        <w:rPr>
          <w:i/>
          <w:sz w:val="22"/>
          <w:szCs w:val="22"/>
          <w:vertAlign w:val="subscript"/>
        </w:rPr>
        <w:tab/>
      </w:r>
      <w:r>
        <w:rPr>
          <w:i/>
          <w:sz w:val="22"/>
          <w:szCs w:val="22"/>
          <w:vertAlign w:val="subscript"/>
        </w:rPr>
        <w:tab/>
      </w:r>
      <w:r>
        <w:rPr>
          <w:i/>
          <w:sz w:val="22"/>
          <w:szCs w:val="22"/>
          <w:vertAlign w:val="subscript"/>
        </w:rPr>
        <w:tab/>
      </w:r>
      <w:r>
        <w:rPr>
          <w:i/>
          <w:sz w:val="22"/>
          <w:szCs w:val="22"/>
          <w:vertAlign w:val="subscript"/>
        </w:rPr>
        <w:tab/>
      </w:r>
      <w:r>
        <w:rPr>
          <w:i/>
          <w:sz w:val="22"/>
          <w:szCs w:val="22"/>
          <w:vertAlign w:val="subscript"/>
        </w:rPr>
        <w:tab/>
      </w:r>
      <w:r>
        <w:rPr>
          <w:i/>
          <w:sz w:val="22"/>
          <w:szCs w:val="22"/>
          <w:vertAlign w:val="subscript"/>
        </w:rPr>
        <w:tab/>
      </w:r>
      <w:r>
        <w:rPr>
          <w:i/>
          <w:sz w:val="22"/>
          <w:szCs w:val="22"/>
          <w:vertAlign w:val="subscript"/>
        </w:rPr>
        <w:tab/>
      </w:r>
      <w:r>
        <w:rPr>
          <w:szCs w:val="22"/>
        </w:rPr>
        <w:t>(9)</w:t>
      </w:r>
    </w:p>
    <w:p w:rsidR="002356A8" w:rsidRDefault="00AC7004">
      <w:pPr>
        <w:tabs>
          <w:tab w:val="left" w:pos="709"/>
        </w:tabs>
        <w:suppressAutoHyphens/>
        <w:jc w:val="both"/>
        <w:textAlignment w:val="center"/>
        <w:rPr>
          <w:i/>
          <w:sz w:val="22"/>
          <w:szCs w:val="22"/>
        </w:rPr>
      </w:pPr>
      <w:r>
        <w:rPr>
          <w:i/>
          <w:sz w:val="22"/>
          <w:szCs w:val="22"/>
        </w:rPr>
        <w:t>čia:</w:t>
      </w:r>
    </w:p>
    <w:p w:rsidR="002356A8" w:rsidRDefault="00AC7004">
      <w:pPr>
        <w:tabs>
          <w:tab w:val="left" w:pos="709"/>
        </w:tabs>
        <w:ind w:firstLine="709"/>
        <w:jc w:val="both"/>
        <w:rPr>
          <w:rFonts w:eastAsia="Calibri"/>
          <w:i/>
          <w:sz w:val="22"/>
          <w:szCs w:val="22"/>
        </w:rPr>
      </w:pPr>
      <w:r>
        <w:rPr>
          <w:rFonts w:eastAsia="Calibri"/>
          <w:i/>
          <w:position w:val="-10"/>
          <w:sz w:val="22"/>
          <w:szCs w:val="22"/>
        </w:rPr>
        <w:object w:dxaOrig="300" w:dyaOrig="340" w14:anchorId="188D84FD">
          <v:shape id="_x0000_i1050" type="#_x0000_t75" style="width:15pt;height:17.25pt" o:ole="">
            <v:imagedata r:id="rId61" o:title=""/>
          </v:shape>
          <o:OLEObject Type="Embed" ProgID="Equation.3" ShapeID="_x0000_i1050" DrawAspect="Content" ObjectID="_1555405086" r:id="rId62"/>
        </w:object>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2356A8" w:rsidRDefault="00AC7004">
      <w:pPr>
        <w:tabs>
          <w:tab w:val="left" w:pos="709"/>
        </w:tabs>
        <w:ind w:firstLine="709"/>
        <w:jc w:val="both"/>
        <w:rPr>
          <w:rFonts w:eastAsia="Calibri"/>
          <w:i/>
          <w:sz w:val="22"/>
          <w:szCs w:val="22"/>
        </w:rPr>
      </w:pPr>
      <w:r>
        <w:rPr>
          <w:rFonts w:eastAsia="Calibri"/>
          <w:i/>
          <w:position w:val="-14"/>
          <w:sz w:val="22"/>
          <w:szCs w:val="22"/>
        </w:rPr>
        <w:object w:dxaOrig="600" w:dyaOrig="400" w14:anchorId="188D84FE">
          <v:shape id="_x0000_i1051" type="#_x0000_t75" style="width:30pt;height:20.25pt" o:ole="">
            <v:imagedata r:id="rId63" o:title=""/>
          </v:shape>
          <o:OLEObject Type="Embed" ProgID="Equation.3" ShapeID="_x0000_i1051" DrawAspect="Content" ObjectID="_1555405087" r:id="rId64"/>
        </w:object>
      </w:r>
      <w:r>
        <w:rPr>
          <w:rFonts w:eastAsia="Calibri"/>
          <w:i/>
          <w:sz w:val="22"/>
          <w:szCs w:val="22"/>
        </w:rPr>
        <w:t xml:space="preserve"> –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2356A8" w:rsidRDefault="002356A8">
      <w:pPr>
        <w:tabs>
          <w:tab w:val="left" w:pos="709"/>
        </w:tabs>
        <w:ind w:firstLine="720"/>
        <w:jc w:val="center"/>
        <w:rPr>
          <w:rFonts w:ascii="Arial" w:eastAsia="Calibri" w:hAnsi="Arial" w:cs="Arial"/>
          <w:i/>
          <w:sz w:val="20"/>
          <w:szCs w:val="24"/>
        </w:rPr>
      </w:pPr>
    </w:p>
    <w:p w:rsidR="002356A8" w:rsidRDefault="00AC7004" w:rsidP="00AC7004">
      <w:pPr>
        <w:tabs>
          <w:tab w:val="left" w:pos="709"/>
        </w:tabs>
        <w:ind w:firstLine="720"/>
        <w:jc w:val="center"/>
        <w:rPr>
          <w:color w:val="000000"/>
          <w:szCs w:val="24"/>
        </w:rPr>
      </w:pPr>
      <w:r>
        <w:rPr>
          <w:rFonts w:ascii="Arial" w:eastAsia="Calibri" w:hAnsi="Arial" w:cs="Arial"/>
          <w:i/>
          <w:sz w:val="20"/>
          <w:szCs w:val="24"/>
        </w:rPr>
        <w:t>___________________</w:t>
      </w:r>
    </w:p>
    <w:sectPr w:rsidR="002356A8">
      <w:headerReference w:type="even" r:id="rId65"/>
      <w:headerReference w:type="default" r:id="rId66"/>
      <w:footerReference w:type="even" r:id="rId67"/>
      <w:footerReference w:type="default" r:id="rId68"/>
      <w:headerReference w:type="first" r:id="rId69"/>
      <w:footerReference w:type="first" r:id="rId70"/>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3F" w:rsidRDefault="00C9233F">
      <w:pPr>
        <w:jc w:val="both"/>
        <w:rPr>
          <w:lang w:eastAsia="lt-LT"/>
        </w:rPr>
      </w:pPr>
      <w:r>
        <w:rPr>
          <w:lang w:eastAsia="lt-LT"/>
        </w:rPr>
        <w:separator/>
      </w:r>
    </w:p>
  </w:endnote>
  <w:endnote w:type="continuationSeparator" w:id="0">
    <w:p w:rsidR="00C9233F" w:rsidRDefault="00C9233F">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AC7004">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2356A8" w:rsidRDefault="002356A8">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2356A8">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2356A8">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3F" w:rsidRDefault="00C9233F">
      <w:pPr>
        <w:jc w:val="both"/>
        <w:rPr>
          <w:lang w:eastAsia="lt-LT"/>
        </w:rPr>
      </w:pPr>
      <w:r>
        <w:rPr>
          <w:lang w:eastAsia="lt-LT"/>
        </w:rPr>
        <w:separator/>
      </w:r>
    </w:p>
  </w:footnote>
  <w:footnote w:type="continuationSeparator" w:id="0">
    <w:p w:rsidR="00C9233F" w:rsidRDefault="00C9233F">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2356A8">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AC7004">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7A3D41">
      <w:rPr>
        <w:noProof/>
        <w:lang w:eastAsia="lt-LT"/>
      </w:rPr>
      <w:t>4</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8" w:rsidRDefault="002356A8">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2356A8"/>
    <w:rsid w:val="00456E42"/>
    <w:rsid w:val="007A3D41"/>
    <w:rsid w:val="009D02C6"/>
    <w:rsid w:val="00AC7004"/>
    <w:rsid w:val="00C9233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D8492"/>
  <w15:docId w15:val="{2D045BD6-BFE3-4E63-8C54-3AF5EED1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1888">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3.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4.xml><?xml version="1.0" encoding="utf-8"?>
<ds:datastoreItem xmlns:ds="http://schemas.openxmlformats.org/officeDocument/2006/customXml" ds:itemID="{A2A4AA8C-47CE-41DF-8397-D14D4E0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4651</Words>
  <Characters>2652</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7289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2014-06-26T13:29:00Z</cp:lastPrinted>
  <dcterms:created xsi:type="dcterms:W3CDTF">2016-06-15T10:16:00Z</dcterms:created>
  <dcterms:modified xsi:type="dcterms:W3CDTF">2016-06-15T10:16:00Z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